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74B7" w14:textId="4F03EACB" w:rsidR="00BD0449" w:rsidRPr="005D4553" w:rsidRDefault="00BD0449" w:rsidP="00BD044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68074F"/>
          <w:sz w:val="36"/>
          <w:szCs w:val="36"/>
        </w:rPr>
      </w:pPr>
      <w:r w:rsidRPr="005D4553">
        <w:rPr>
          <w:rStyle w:val="normaltextrun"/>
          <w:rFonts w:ascii="Arial" w:hAnsi="Arial" w:cs="Arial"/>
          <w:b/>
          <w:bCs/>
          <w:color w:val="68074F"/>
          <w:sz w:val="36"/>
          <w:szCs w:val="36"/>
          <w:lang w:val="en-US"/>
        </w:rPr>
        <w:t>Nuisance</w:t>
      </w:r>
      <w:r w:rsidR="002839F8">
        <w:rPr>
          <w:rStyle w:val="normaltextrun"/>
          <w:rFonts w:ascii="Arial" w:hAnsi="Arial" w:cs="Arial"/>
          <w:b/>
          <w:bCs/>
          <w:color w:val="68074F"/>
          <w:sz w:val="36"/>
          <w:szCs w:val="36"/>
          <w:lang w:val="en-US"/>
        </w:rPr>
        <w:t xml:space="preserve">, </w:t>
      </w:r>
      <w:r w:rsidRPr="005D4553">
        <w:rPr>
          <w:rStyle w:val="normaltextrun"/>
          <w:rFonts w:ascii="Arial" w:hAnsi="Arial" w:cs="Arial"/>
          <w:b/>
          <w:bCs/>
          <w:color w:val="68074F"/>
          <w:sz w:val="36"/>
          <w:szCs w:val="36"/>
          <w:lang w:val="en-US"/>
        </w:rPr>
        <w:t>Anti-Social Behaviour</w:t>
      </w:r>
      <w:r w:rsidRPr="005D4553">
        <w:rPr>
          <w:rStyle w:val="eop"/>
          <w:rFonts w:ascii="Arial" w:hAnsi="Arial" w:cs="Arial"/>
          <w:b/>
          <w:bCs/>
          <w:color w:val="68074F"/>
          <w:sz w:val="36"/>
          <w:szCs w:val="36"/>
        </w:rPr>
        <w:t> </w:t>
      </w:r>
      <w:r w:rsidR="002839F8">
        <w:rPr>
          <w:rStyle w:val="eop"/>
          <w:rFonts w:ascii="Arial" w:hAnsi="Arial" w:cs="Arial"/>
          <w:b/>
          <w:bCs/>
          <w:color w:val="68074F"/>
          <w:sz w:val="36"/>
          <w:szCs w:val="36"/>
        </w:rPr>
        <w:t>and Hate Crime</w:t>
      </w:r>
    </w:p>
    <w:p w14:paraId="74CC542C" w14:textId="77777777" w:rsidR="00BD0449" w:rsidRPr="005D4553" w:rsidRDefault="00BD0449" w:rsidP="00BD044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18"/>
          <w:szCs w:val="18"/>
        </w:rPr>
      </w:pPr>
    </w:p>
    <w:p w14:paraId="756A3B1D" w14:textId="41512A13" w:rsidR="00D31B51" w:rsidRPr="005D4553" w:rsidRDefault="00D31B51">
      <w:pPr>
        <w:rPr>
          <w:rFonts w:ascii="Arial" w:hAnsi="Arial" w:cs="Arial"/>
        </w:rPr>
      </w:pPr>
      <w:r w:rsidRPr="005D4553">
        <w:rPr>
          <w:rFonts w:ascii="Arial" w:hAnsi="Arial" w:cs="Arial"/>
        </w:rPr>
        <w:t>Bromford takes nuisance</w:t>
      </w:r>
      <w:r w:rsidR="00482088">
        <w:rPr>
          <w:rFonts w:ascii="Arial" w:hAnsi="Arial" w:cs="Arial"/>
        </w:rPr>
        <w:t xml:space="preserve">, </w:t>
      </w:r>
      <w:r w:rsidRPr="005D4553">
        <w:rPr>
          <w:rFonts w:ascii="Arial" w:hAnsi="Arial" w:cs="Arial"/>
        </w:rPr>
        <w:t>anti-social behaviour</w:t>
      </w:r>
      <w:r w:rsidR="00482088">
        <w:rPr>
          <w:rFonts w:ascii="Arial" w:hAnsi="Arial" w:cs="Arial"/>
        </w:rPr>
        <w:t xml:space="preserve"> and hate crime</w:t>
      </w:r>
      <w:r w:rsidRPr="005D4553">
        <w:rPr>
          <w:rFonts w:ascii="Arial" w:hAnsi="Arial" w:cs="Arial"/>
        </w:rPr>
        <w:t xml:space="preserve"> seriously as we know it affects the quality of life </w:t>
      </w:r>
      <w:r w:rsidR="00801DC7">
        <w:rPr>
          <w:rFonts w:ascii="Arial" w:hAnsi="Arial" w:cs="Arial"/>
        </w:rPr>
        <w:t>for those living in our communities.</w:t>
      </w:r>
    </w:p>
    <w:p w14:paraId="30CD8ADF" w14:textId="7965A6FD" w:rsidR="00255395" w:rsidRPr="005D4553" w:rsidRDefault="00D31B51">
      <w:pPr>
        <w:rPr>
          <w:rFonts w:ascii="Arial" w:hAnsi="Arial" w:cs="Arial"/>
        </w:rPr>
      </w:pPr>
      <w:r w:rsidRPr="005D4553">
        <w:rPr>
          <w:rFonts w:ascii="Arial" w:hAnsi="Arial" w:cs="Arial"/>
        </w:rPr>
        <w:t>However we</w:t>
      </w:r>
      <w:r w:rsidR="00BD0449" w:rsidRPr="005D4553">
        <w:rPr>
          <w:rFonts w:ascii="Arial" w:hAnsi="Arial" w:cs="Arial"/>
        </w:rPr>
        <w:t xml:space="preserve"> all have to</w:t>
      </w:r>
      <w:r w:rsidRPr="005D4553">
        <w:rPr>
          <w:rFonts w:ascii="Arial" w:hAnsi="Arial" w:cs="Arial"/>
        </w:rPr>
        <w:t xml:space="preserve"> accept that people live in different ways and have different views and that some</w:t>
      </w:r>
      <w:r w:rsidR="00255395" w:rsidRPr="005D4553">
        <w:rPr>
          <w:rFonts w:ascii="Arial" w:hAnsi="Arial" w:cs="Arial"/>
        </w:rPr>
        <w:t xml:space="preserve">times some things that you might find inconvenient or annoying </w:t>
      </w:r>
      <w:r w:rsidR="00BD0449" w:rsidRPr="005D4553">
        <w:rPr>
          <w:rFonts w:ascii="Arial" w:hAnsi="Arial" w:cs="Arial"/>
        </w:rPr>
        <w:t xml:space="preserve">is not a </w:t>
      </w:r>
      <w:r w:rsidR="00BB3784">
        <w:rPr>
          <w:rFonts w:ascii="Arial" w:hAnsi="Arial" w:cs="Arial"/>
        </w:rPr>
        <w:t xml:space="preserve">breach of tenancy, </w:t>
      </w:r>
      <w:r w:rsidRPr="005D4553">
        <w:rPr>
          <w:rFonts w:ascii="Arial" w:hAnsi="Arial" w:cs="Arial"/>
        </w:rPr>
        <w:t>nuisance</w:t>
      </w:r>
      <w:r w:rsidR="006346E5">
        <w:rPr>
          <w:rFonts w:ascii="Arial" w:hAnsi="Arial" w:cs="Arial"/>
        </w:rPr>
        <w:t xml:space="preserve">, </w:t>
      </w:r>
      <w:r w:rsidRPr="005D4553">
        <w:rPr>
          <w:rFonts w:ascii="Arial" w:hAnsi="Arial" w:cs="Arial"/>
        </w:rPr>
        <w:t>anti-social behaviour</w:t>
      </w:r>
      <w:r w:rsidR="006346E5">
        <w:rPr>
          <w:rFonts w:ascii="Arial" w:hAnsi="Arial" w:cs="Arial"/>
        </w:rPr>
        <w:t xml:space="preserve"> or a hate crime</w:t>
      </w:r>
      <w:r w:rsidRPr="005D4553">
        <w:rPr>
          <w:rFonts w:ascii="Arial" w:hAnsi="Arial" w:cs="Arial"/>
        </w:rPr>
        <w:t>.</w:t>
      </w:r>
      <w:r w:rsidR="00255395" w:rsidRPr="005D4553">
        <w:rPr>
          <w:rFonts w:ascii="Arial" w:hAnsi="Arial" w:cs="Arial"/>
        </w:rPr>
        <w:t xml:space="preserve">  </w:t>
      </w:r>
    </w:p>
    <w:p w14:paraId="603F6393" w14:textId="2422A6A2" w:rsidR="00577CC0" w:rsidRPr="005D4553" w:rsidRDefault="00BD0449" w:rsidP="00E56961">
      <w:pPr>
        <w:rPr>
          <w:rStyle w:val="normaltextrun"/>
          <w:rFonts w:ascii="Arial" w:hAnsi="Arial" w:cs="Arial"/>
        </w:rPr>
      </w:pPr>
      <w:r w:rsidRPr="005D4553">
        <w:rPr>
          <w:rFonts w:ascii="Arial" w:hAnsi="Arial" w:cs="Arial"/>
        </w:rPr>
        <w:t>Think about the issues you are experiencing</w:t>
      </w:r>
      <w:r w:rsidR="00BB3784">
        <w:rPr>
          <w:rFonts w:ascii="Arial" w:hAnsi="Arial" w:cs="Arial"/>
        </w:rPr>
        <w:t>.</w:t>
      </w:r>
      <w:r w:rsidRPr="005D4553">
        <w:rPr>
          <w:rFonts w:ascii="Arial" w:hAnsi="Arial" w:cs="Arial"/>
        </w:rPr>
        <w:t xml:space="preserve"> </w:t>
      </w:r>
      <w:r w:rsidR="00255395" w:rsidRPr="005D4553">
        <w:rPr>
          <w:rFonts w:ascii="Arial" w:hAnsi="Arial" w:cs="Arial"/>
        </w:rPr>
        <w:t xml:space="preserve">We will give you honest advice about what we can and can’t do. </w:t>
      </w:r>
    </w:p>
    <w:p w14:paraId="376DCA26" w14:textId="7FE1B579" w:rsidR="0014521F" w:rsidRPr="00577CC0" w:rsidRDefault="00BD0449" w:rsidP="00577C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8074F"/>
          <w:sz w:val="36"/>
          <w:szCs w:val="36"/>
        </w:rPr>
      </w:pPr>
      <w:r w:rsidRPr="005D4553">
        <w:rPr>
          <w:rStyle w:val="normaltextrun"/>
          <w:rFonts w:ascii="Arial" w:hAnsi="Arial" w:cs="Arial"/>
          <w:b/>
          <w:bCs/>
          <w:color w:val="68074F"/>
          <w:sz w:val="36"/>
          <w:szCs w:val="36"/>
          <w:lang w:val="en-US"/>
        </w:rPr>
        <w:t>What we will do</w:t>
      </w:r>
      <w:r w:rsidR="00577CC0" w:rsidRPr="005D4553">
        <w:rPr>
          <w:rStyle w:val="eop"/>
          <w:rFonts w:ascii="Arial" w:hAnsi="Arial" w:cs="Arial"/>
          <w:b/>
          <w:bCs/>
          <w:color w:val="68074F"/>
          <w:sz w:val="36"/>
          <w:szCs w:val="36"/>
        </w:rPr>
        <w:t>:</w:t>
      </w:r>
    </w:p>
    <w:p w14:paraId="51190FC7" w14:textId="77777777" w:rsidR="00577CC0" w:rsidRPr="00577CC0" w:rsidRDefault="00577CC0" w:rsidP="00577CC0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7F24F9F7" w14:textId="77777777" w:rsidR="00E56961" w:rsidRPr="00E216D5" w:rsidRDefault="00577CC0" w:rsidP="00577CC0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E216D5">
        <w:rPr>
          <w:rFonts w:ascii="Arial" w:eastAsia="Calibri" w:hAnsi="Arial" w:cs="Arial"/>
          <w:kern w:val="0"/>
          <w14:ligatures w14:val="none"/>
        </w:rPr>
        <w:t>Be here to help</w:t>
      </w:r>
      <w:r w:rsidR="002C0678" w:rsidRPr="00E216D5">
        <w:rPr>
          <w:rFonts w:ascii="Arial" w:eastAsia="Calibri" w:hAnsi="Arial" w:cs="Arial"/>
          <w:kern w:val="0"/>
          <w14:ligatures w14:val="none"/>
        </w:rPr>
        <w:t xml:space="preserve"> and advise</w:t>
      </w:r>
      <w:r w:rsidR="008E3C13" w:rsidRPr="00E216D5">
        <w:rPr>
          <w:rFonts w:ascii="Arial" w:eastAsia="Calibri" w:hAnsi="Arial" w:cs="Arial"/>
          <w:kern w:val="0"/>
          <w14:ligatures w14:val="none"/>
        </w:rPr>
        <w:t>;</w:t>
      </w:r>
    </w:p>
    <w:p w14:paraId="6951A06B" w14:textId="106CE916" w:rsidR="00E52778" w:rsidRPr="00E216D5" w:rsidRDefault="00E52778" w:rsidP="00577CC0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E216D5">
        <w:rPr>
          <w:rFonts w:ascii="Arial" w:eastAsia="Calibri" w:hAnsi="Arial" w:cs="Arial"/>
          <w:kern w:val="0"/>
          <w14:ligatures w14:val="none"/>
        </w:rPr>
        <w:t>Comply with our Policy and Procedure;</w:t>
      </w:r>
    </w:p>
    <w:p w14:paraId="25F7F20E" w14:textId="1A854CBB" w:rsidR="00577CC0" w:rsidRPr="00E216D5" w:rsidRDefault="00D751D1" w:rsidP="00577CC0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E216D5">
        <w:rPr>
          <w:rFonts w:ascii="Arial" w:eastAsia="Calibri" w:hAnsi="Arial" w:cs="Arial"/>
          <w:kern w:val="0"/>
          <w14:ligatures w14:val="none"/>
        </w:rPr>
        <w:t>Ensure our colleagues are knowledgeable and well trained when dealing with nuisance and anti-social behaviour</w:t>
      </w:r>
      <w:r w:rsidR="00EA76D8" w:rsidRPr="00E216D5">
        <w:rPr>
          <w:rFonts w:ascii="Arial" w:eastAsia="Calibri" w:hAnsi="Arial" w:cs="Arial"/>
          <w:kern w:val="0"/>
          <w14:ligatures w14:val="none"/>
        </w:rPr>
        <w:t>;</w:t>
      </w:r>
      <w:r w:rsidR="00577CC0" w:rsidRPr="00E216D5">
        <w:rPr>
          <w:rFonts w:ascii="Arial" w:eastAsia="Calibri" w:hAnsi="Arial" w:cs="Arial"/>
          <w:kern w:val="0"/>
          <w14:ligatures w14:val="none"/>
        </w:rPr>
        <w:t xml:space="preserve"> </w:t>
      </w:r>
    </w:p>
    <w:p w14:paraId="396F4787" w14:textId="05E8DAE0" w:rsidR="00577CC0" w:rsidRPr="00E216D5" w:rsidRDefault="00577CC0" w:rsidP="00577CC0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E216D5">
        <w:rPr>
          <w:rFonts w:ascii="Arial" w:eastAsia="Calibri" w:hAnsi="Arial" w:cs="Arial"/>
          <w:kern w:val="0"/>
          <w14:ligatures w14:val="none"/>
        </w:rPr>
        <w:t>Offer a 24 hours service to</w:t>
      </w:r>
      <w:r w:rsidR="004648F9" w:rsidRPr="00E216D5">
        <w:rPr>
          <w:rFonts w:ascii="Arial" w:eastAsia="Calibri" w:hAnsi="Arial" w:cs="Arial"/>
          <w:kern w:val="0"/>
          <w14:ligatures w14:val="none"/>
        </w:rPr>
        <w:t xml:space="preserve"> enable you to</w:t>
      </w:r>
      <w:r w:rsidRPr="00E216D5">
        <w:rPr>
          <w:rFonts w:ascii="Arial" w:eastAsia="Calibri" w:hAnsi="Arial" w:cs="Arial"/>
          <w:kern w:val="0"/>
          <w14:ligatures w14:val="none"/>
        </w:rPr>
        <w:t xml:space="preserve"> report </w:t>
      </w:r>
      <w:r w:rsidR="004648F9" w:rsidRPr="00E216D5">
        <w:rPr>
          <w:rFonts w:ascii="Arial" w:eastAsia="Calibri" w:hAnsi="Arial" w:cs="Arial"/>
          <w:kern w:val="0"/>
          <w14:ligatures w14:val="none"/>
        </w:rPr>
        <w:t xml:space="preserve">nuisance and </w:t>
      </w:r>
      <w:r w:rsidRPr="00E216D5">
        <w:rPr>
          <w:rFonts w:ascii="Arial" w:eastAsia="Calibri" w:hAnsi="Arial" w:cs="Arial"/>
          <w:kern w:val="0"/>
          <w14:ligatures w14:val="none"/>
        </w:rPr>
        <w:t>anti-social behaviour;</w:t>
      </w:r>
    </w:p>
    <w:p w14:paraId="75B97F90" w14:textId="460FF9DD" w:rsidR="00577CC0" w:rsidRPr="00E216D5" w:rsidRDefault="00EA76D8" w:rsidP="00577CC0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E216D5">
        <w:rPr>
          <w:rFonts w:ascii="Arial" w:eastAsia="Calibri" w:hAnsi="Arial" w:cs="Arial"/>
          <w:kern w:val="0"/>
          <w14:ligatures w14:val="none"/>
        </w:rPr>
        <w:t xml:space="preserve">Provide you with numerous ways to report nuisance and ASB for example </w:t>
      </w:r>
      <w:r w:rsidR="00577CC0" w:rsidRPr="00E216D5">
        <w:rPr>
          <w:rFonts w:ascii="Arial" w:eastAsia="Calibri" w:hAnsi="Arial" w:cs="Arial"/>
          <w:kern w:val="0"/>
          <w14:ligatures w14:val="none"/>
        </w:rPr>
        <w:t>via the customer portal, Bromford website, by phone, email, text, Facebook, X previously known at Twitter</w:t>
      </w:r>
      <w:r w:rsidR="009B5C3A" w:rsidRPr="00E216D5">
        <w:rPr>
          <w:rFonts w:ascii="Arial" w:eastAsia="Calibri" w:hAnsi="Arial" w:cs="Arial"/>
          <w:kern w:val="0"/>
          <w14:ligatures w14:val="none"/>
        </w:rPr>
        <w:t>, this is not an exhaustive list;</w:t>
      </w:r>
      <w:r w:rsidR="00577CC0" w:rsidRPr="00E216D5">
        <w:rPr>
          <w:rFonts w:ascii="Arial" w:eastAsia="Calibri" w:hAnsi="Arial" w:cs="Arial"/>
          <w:kern w:val="0"/>
          <w14:ligatures w14:val="none"/>
        </w:rPr>
        <w:t xml:space="preserve"> </w:t>
      </w:r>
    </w:p>
    <w:p w14:paraId="2FFF08D0" w14:textId="7EED5AE0" w:rsidR="00577CC0" w:rsidRDefault="00577CC0" w:rsidP="00577CC0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577CC0">
        <w:rPr>
          <w:rFonts w:ascii="Arial" w:eastAsia="Calibri" w:hAnsi="Arial" w:cs="Arial"/>
          <w:kern w:val="0"/>
          <w14:ligatures w14:val="none"/>
        </w:rPr>
        <w:t xml:space="preserve">Investigate every reported case of domestic </w:t>
      </w:r>
      <w:r w:rsidR="0004243E" w:rsidRPr="00E216D5">
        <w:rPr>
          <w:rFonts w:ascii="Arial" w:eastAsia="Calibri" w:hAnsi="Arial" w:cs="Arial"/>
          <w:kern w:val="0"/>
          <w14:ligatures w14:val="none"/>
        </w:rPr>
        <w:t>abuse</w:t>
      </w:r>
      <w:r w:rsidR="004648F9" w:rsidRPr="00E216D5">
        <w:rPr>
          <w:rFonts w:ascii="Arial" w:eastAsia="Calibri" w:hAnsi="Arial" w:cs="Arial"/>
          <w:kern w:val="0"/>
          <w14:ligatures w14:val="none"/>
        </w:rPr>
        <w:t xml:space="preserve"> and h</w:t>
      </w:r>
      <w:r w:rsidRPr="00577CC0">
        <w:rPr>
          <w:rFonts w:ascii="Arial" w:eastAsia="Calibri" w:hAnsi="Arial" w:cs="Arial"/>
          <w:kern w:val="0"/>
          <w14:ligatures w14:val="none"/>
        </w:rPr>
        <w:t>ate crime;</w:t>
      </w:r>
    </w:p>
    <w:p w14:paraId="335C00D4" w14:textId="61443354" w:rsidR="00B310FA" w:rsidRDefault="00B310FA" w:rsidP="00577CC0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>
        <w:rPr>
          <w:rFonts w:ascii="Arial" w:eastAsia="Calibri" w:hAnsi="Arial" w:cs="Arial"/>
          <w:kern w:val="0"/>
          <w14:ligatures w14:val="none"/>
        </w:rPr>
        <w:t>Take</w:t>
      </w:r>
      <w:r w:rsidR="003A7297">
        <w:rPr>
          <w:rFonts w:ascii="Arial" w:eastAsia="Calibri" w:hAnsi="Arial" w:cs="Arial"/>
          <w:kern w:val="0"/>
          <w14:ligatures w14:val="none"/>
        </w:rPr>
        <w:t xml:space="preserve"> action within 24 hours </w:t>
      </w:r>
      <w:r w:rsidR="006021A2">
        <w:rPr>
          <w:rFonts w:ascii="Arial" w:eastAsia="Calibri" w:hAnsi="Arial" w:cs="Arial"/>
          <w:kern w:val="0"/>
          <w14:ligatures w14:val="none"/>
        </w:rPr>
        <w:t>to protect</w:t>
      </w:r>
      <w:r w:rsidR="008E4C8F">
        <w:rPr>
          <w:rFonts w:ascii="Arial" w:eastAsia="Calibri" w:hAnsi="Arial" w:cs="Arial"/>
          <w:kern w:val="0"/>
          <w14:ligatures w14:val="none"/>
        </w:rPr>
        <w:t xml:space="preserve"> the customer/</w:t>
      </w:r>
      <w:r w:rsidR="006021A2">
        <w:rPr>
          <w:rFonts w:ascii="Arial" w:eastAsia="Calibri" w:hAnsi="Arial" w:cs="Arial"/>
          <w:kern w:val="0"/>
          <w14:ligatures w14:val="none"/>
        </w:rPr>
        <w:t xml:space="preserve">victim of hate crime </w:t>
      </w:r>
      <w:r w:rsidR="003A7297">
        <w:rPr>
          <w:rFonts w:ascii="Arial" w:eastAsia="Calibri" w:hAnsi="Arial" w:cs="Arial"/>
          <w:kern w:val="0"/>
          <w14:ligatures w14:val="none"/>
        </w:rPr>
        <w:t xml:space="preserve">where violence and/or a serious threat </w:t>
      </w:r>
      <w:r w:rsidR="006021A2">
        <w:rPr>
          <w:rFonts w:ascii="Arial" w:eastAsia="Calibri" w:hAnsi="Arial" w:cs="Arial"/>
          <w:kern w:val="0"/>
          <w14:ligatures w14:val="none"/>
        </w:rPr>
        <w:t>has been made;</w:t>
      </w:r>
    </w:p>
    <w:p w14:paraId="327CBA6A" w14:textId="26C325EE" w:rsidR="00C2305F" w:rsidRPr="00577CC0" w:rsidRDefault="008E4C8F" w:rsidP="00577CC0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>
        <w:rPr>
          <w:rFonts w:ascii="Arial" w:eastAsia="Calibri" w:hAnsi="Arial" w:cs="Arial"/>
          <w:kern w:val="0"/>
          <w14:ligatures w14:val="none"/>
        </w:rPr>
        <w:t>In the absence of violence and/or a serious</w:t>
      </w:r>
      <w:r w:rsidR="0076675A">
        <w:rPr>
          <w:rFonts w:ascii="Arial" w:eastAsia="Calibri" w:hAnsi="Arial" w:cs="Arial"/>
          <w:kern w:val="0"/>
          <w14:ligatures w14:val="none"/>
        </w:rPr>
        <w:t xml:space="preserve"> threat to the customer/victim of hate crime contact the customer/victim within 48 hours </w:t>
      </w:r>
      <w:r w:rsidR="00C07AF7">
        <w:rPr>
          <w:rFonts w:ascii="Arial" w:eastAsia="Calibri" w:hAnsi="Arial" w:cs="Arial"/>
          <w:kern w:val="0"/>
          <w14:ligatures w14:val="none"/>
        </w:rPr>
        <w:t>and review again 48 hours thereafter;</w:t>
      </w:r>
    </w:p>
    <w:p w14:paraId="6601E9F4" w14:textId="7A354B4C" w:rsidR="00577CC0" w:rsidRPr="00577CC0" w:rsidRDefault="00577CC0" w:rsidP="00577CC0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b/>
          <w:bCs/>
          <w:kern w:val="0"/>
          <w14:ligatures w14:val="none"/>
        </w:rPr>
      </w:pPr>
      <w:r w:rsidRPr="00577CC0">
        <w:rPr>
          <w:rFonts w:ascii="Arial" w:eastAsia="Calibri" w:hAnsi="Arial" w:cs="Arial"/>
          <w:kern w:val="0"/>
          <w14:ligatures w14:val="none"/>
        </w:rPr>
        <w:t>Take immediate and urgent action in very serious cases, for example where attacks have taken place</w:t>
      </w:r>
      <w:r w:rsidR="00C07AF7">
        <w:rPr>
          <w:rFonts w:ascii="Arial" w:eastAsia="Calibri" w:hAnsi="Arial" w:cs="Arial"/>
          <w:kern w:val="0"/>
          <w14:ligatures w14:val="none"/>
        </w:rPr>
        <w:t xml:space="preserve"> (none hate crime related)</w:t>
      </w:r>
      <w:r w:rsidRPr="00577CC0">
        <w:rPr>
          <w:rFonts w:ascii="Arial" w:eastAsia="Calibri" w:hAnsi="Arial" w:cs="Arial"/>
          <w:kern w:val="0"/>
          <w14:ligatures w14:val="none"/>
        </w:rPr>
        <w:t xml:space="preserve">.  This may include taking out injunction/s or </w:t>
      </w:r>
      <w:r w:rsidR="0004243E" w:rsidRPr="00E216D5">
        <w:rPr>
          <w:rFonts w:ascii="Arial" w:eastAsia="Calibri" w:hAnsi="Arial" w:cs="Arial"/>
          <w:kern w:val="0"/>
          <w14:ligatures w14:val="none"/>
        </w:rPr>
        <w:t>applying for</w:t>
      </w:r>
      <w:r w:rsidRPr="00577CC0">
        <w:rPr>
          <w:rFonts w:ascii="Arial" w:eastAsia="Calibri" w:hAnsi="Arial" w:cs="Arial"/>
          <w:kern w:val="0"/>
          <w14:ligatures w14:val="none"/>
        </w:rPr>
        <w:t xml:space="preserve"> possessio</w:t>
      </w:r>
      <w:r w:rsidR="0004243E" w:rsidRPr="00E216D5">
        <w:rPr>
          <w:rFonts w:ascii="Arial" w:eastAsia="Calibri" w:hAnsi="Arial" w:cs="Arial"/>
          <w:kern w:val="0"/>
          <w14:ligatures w14:val="none"/>
        </w:rPr>
        <w:t>n</w:t>
      </w:r>
      <w:r w:rsidR="00EC48F1" w:rsidRPr="00E216D5">
        <w:rPr>
          <w:rFonts w:ascii="Arial" w:eastAsia="Calibri" w:hAnsi="Arial" w:cs="Arial"/>
          <w:kern w:val="0"/>
          <w14:ligatures w14:val="none"/>
        </w:rPr>
        <w:t>.  Action will happen in 2</w:t>
      </w:r>
      <w:r w:rsidRPr="00577CC0">
        <w:rPr>
          <w:rFonts w:ascii="Arial" w:eastAsia="Calibri" w:hAnsi="Arial" w:cs="Arial"/>
          <w:kern w:val="0"/>
          <w14:ligatures w14:val="none"/>
        </w:rPr>
        <w:t xml:space="preserve"> working days;</w:t>
      </w:r>
    </w:p>
    <w:p w14:paraId="72792009" w14:textId="1A70EA7C" w:rsidR="00577CC0" w:rsidRPr="00577CC0" w:rsidRDefault="00577CC0" w:rsidP="00577CC0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b/>
          <w:bCs/>
          <w:kern w:val="0"/>
          <w14:ligatures w14:val="none"/>
        </w:rPr>
      </w:pPr>
      <w:r w:rsidRPr="00577CC0">
        <w:rPr>
          <w:rFonts w:ascii="Arial" w:eastAsia="Calibri" w:hAnsi="Arial" w:cs="Arial"/>
          <w:kern w:val="0"/>
          <w14:ligatures w14:val="none"/>
        </w:rPr>
        <w:t>For non</w:t>
      </w:r>
      <w:r w:rsidR="00866B89" w:rsidRPr="00E216D5">
        <w:rPr>
          <w:rFonts w:ascii="Arial" w:eastAsia="Calibri" w:hAnsi="Arial" w:cs="Arial"/>
          <w:kern w:val="0"/>
          <w14:ligatures w14:val="none"/>
        </w:rPr>
        <w:t>-</w:t>
      </w:r>
      <w:r w:rsidRPr="00577CC0">
        <w:rPr>
          <w:rFonts w:ascii="Arial" w:eastAsia="Calibri" w:hAnsi="Arial" w:cs="Arial"/>
          <w:kern w:val="0"/>
          <w14:ligatures w14:val="none"/>
        </w:rPr>
        <w:t>emergen</w:t>
      </w:r>
      <w:r w:rsidR="005C24B9">
        <w:rPr>
          <w:rFonts w:ascii="Arial" w:eastAsia="Calibri" w:hAnsi="Arial" w:cs="Arial"/>
          <w:kern w:val="0"/>
          <w14:ligatures w14:val="none"/>
        </w:rPr>
        <w:t>cy</w:t>
      </w:r>
      <w:r w:rsidRPr="00577CC0">
        <w:rPr>
          <w:rFonts w:ascii="Arial" w:eastAsia="Calibri" w:hAnsi="Arial" w:cs="Arial"/>
          <w:kern w:val="0"/>
          <w14:ligatures w14:val="none"/>
        </w:rPr>
        <w:t xml:space="preserve"> cases we will contact the </w:t>
      </w:r>
      <w:r w:rsidR="00866B89" w:rsidRPr="00E216D5">
        <w:rPr>
          <w:rFonts w:ascii="Arial" w:eastAsia="Calibri" w:hAnsi="Arial" w:cs="Arial"/>
          <w:kern w:val="0"/>
          <w14:ligatures w14:val="none"/>
        </w:rPr>
        <w:t>customer/</w:t>
      </w:r>
      <w:r w:rsidRPr="00577CC0">
        <w:rPr>
          <w:rFonts w:ascii="Arial" w:eastAsia="Calibri" w:hAnsi="Arial" w:cs="Arial"/>
          <w:kern w:val="0"/>
          <w14:ligatures w14:val="none"/>
        </w:rPr>
        <w:t>complainant</w:t>
      </w:r>
      <w:r w:rsidR="00866B89" w:rsidRPr="00E216D5">
        <w:rPr>
          <w:rFonts w:ascii="Arial" w:eastAsia="Calibri" w:hAnsi="Arial" w:cs="Arial"/>
          <w:kern w:val="0"/>
          <w14:ligatures w14:val="none"/>
        </w:rPr>
        <w:t>/victim</w:t>
      </w:r>
      <w:r w:rsidRPr="00577CC0">
        <w:rPr>
          <w:rFonts w:ascii="Arial" w:eastAsia="Calibri" w:hAnsi="Arial" w:cs="Arial"/>
          <w:kern w:val="0"/>
          <w14:ligatures w14:val="none"/>
        </w:rPr>
        <w:t xml:space="preserve"> within 5 working days;</w:t>
      </w:r>
    </w:p>
    <w:p w14:paraId="2BCEF6C7" w14:textId="41F34AA9" w:rsidR="00577CC0" w:rsidRPr="00577CC0" w:rsidRDefault="0014521F" w:rsidP="00577CC0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E216D5">
        <w:rPr>
          <w:rFonts w:ascii="Arial" w:eastAsia="Calibri" w:hAnsi="Arial" w:cs="Arial"/>
          <w:kern w:val="0"/>
          <w14:ligatures w14:val="none"/>
        </w:rPr>
        <w:t>If action is required, a</w:t>
      </w:r>
      <w:r w:rsidR="00577CC0" w:rsidRPr="00577CC0">
        <w:rPr>
          <w:rFonts w:ascii="Arial" w:eastAsia="Calibri" w:hAnsi="Arial" w:cs="Arial"/>
          <w:kern w:val="0"/>
          <w14:ligatures w14:val="none"/>
        </w:rPr>
        <w:t>gree an action plan;</w:t>
      </w:r>
    </w:p>
    <w:p w14:paraId="27BFA98E" w14:textId="3BAEFAC6" w:rsidR="00D635DE" w:rsidRPr="00E216D5" w:rsidRDefault="00577CC0" w:rsidP="00412E5A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577CC0">
        <w:rPr>
          <w:rFonts w:ascii="Arial" w:eastAsia="Calibri" w:hAnsi="Arial" w:cs="Arial"/>
          <w:kern w:val="0"/>
          <w14:ligatures w14:val="none"/>
        </w:rPr>
        <w:t xml:space="preserve">Agree </w:t>
      </w:r>
      <w:r w:rsidR="004648F9" w:rsidRPr="00E216D5">
        <w:rPr>
          <w:rFonts w:ascii="Arial" w:eastAsia="Calibri" w:hAnsi="Arial" w:cs="Arial"/>
          <w:kern w:val="0"/>
          <w14:ligatures w14:val="none"/>
        </w:rPr>
        <w:t xml:space="preserve">frequency of contact </w:t>
      </w:r>
      <w:r w:rsidR="002627D9" w:rsidRPr="00E216D5">
        <w:rPr>
          <w:rFonts w:ascii="Arial" w:eastAsia="Calibri" w:hAnsi="Arial" w:cs="Arial"/>
          <w:kern w:val="0"/>
          <w14:ligatures w14:val="none"/>
        </w:rPr>
        <w:t xml:space="preserve">with customer/complainant/victim </w:t>
      </w:r>
      <w:r w:rsidR="004648F9" w:rsidRPr="00E216D5">
        <w:rPr>
          <w:rFonts w:ascii="Arial" w:eastAsia="Calibri" w:hAnsi="Arial" w:cs="Arial"/>
          <w:kern w:val="0"/>
          <w14:ligatures w14:val="none"/>
        </w:rPr>
        <w:t>during an open case;</w:t>
      </w:r>
    </w:p>
    <w:p w14:paraId="5AC0E1DA" w14:textId="78E0511D" w:rsidR="00412E5A" w:rsidRPr="00E216D5" w:rsidRDefault="00582105" w:rsidP="00582105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E216D5">
        <w:rPr>
          <w:rFonts w:ascii="Arial" w:eastAsia="Calibri" w:hAnsi="Arial" w:cs="Arial"/>
          <w:kern w:val="0"/>
          <w14:ligatures w14:val="none"/>
        </w:rPr>
        <w:t>Investigate the allegations made and engage with the alleged perpetrator to see</w:t>
      </w:r>
      <w:r w:rsidR="005C24B9">
        <w:rPr>
          <w:rFonts w:ascii="Arial" w:eastAsia="Calibri" w:hAnsi="Arial" w:cs="Arial"/>
          <w:kern w:val="0"/>
          <w14:ligatures w14:val="none"/>
        </w:rPr>
        <w:t>k</w:t>
      </w:r>
      <w:r w:rsidRPr="00E216D5">
        <w:rPr>
          <w:rFonts w:ascii="Arial" w:eastAsia="Calibri" w:hAnsi="Arial" w:cs="Arial"/>
          <w:kern w:val="0"/>
          <w14:ligatures w14:val="none"/>
        </w:rPr>
        <w:t xml:space="preserve"> to achieve behaviour modification. </w:t>
      </w:r>
      <w:r w:rsidR="00563CCC" w:rsidRPr="00E216D5">
        <w:rPr>
          <w:rFonts w:ascii="Arial" w:eastAsia="Calibri" w:hAnsi="Arial" w:cs="Arial"/>
          <w:kern w:val="0"/>
          <w14:ligatures w14:val="none"/>
        </w:rPr>
        <w:t>It should be noted that it can take a considera</w:t>
      </w:r>
      <w:r w:rsidR="00657A25" w:rsidRPr="00E216D5">
        <w:rPr>
          <w:rFonts w:ascii="Arial" w:eastAsia="Calibri" w:hAnsi="Arial" w:cs="Arial"/>
          <w:kern w:val="0"/>
          <w14:ligatures w14:val="none"/>
        </w:rPr>
        <w:t>ble</w:t>
      </w:r>
      <w:r w:rsidR="00563CCC" w:rsidRPr="00E216D5">
        <w:rPr>
          <w:rFonts w:ascii="Arial" w:eastAsia="Calibri" w:hAnsi="Arial" w:cs="Arial"/>
          <w:kern w:val="0"/>
          <w14:ligatures w14:val="none"/>
        </w:rPr>
        <w:t xml:space="preserve"> amount of time to gather substantial evidence to prove a serious breach of tenancy</w:t>
      </w:r>
      <w:r w:rsidR="00CF1159" w:rsidRPr="00E216D5">
        <w:rPr>
          <w:rFonts w:ascii="Arial" w:eastAsia="Calibri" w:hAnsi="Arial" w:cs="Arial"/>
          <w:kern w:val="0"/>
          <w14:ligatures w14:val="none"/>
        </w:rPr>
        <w:t xml:space="preserve"> which will enable legal action to be taken</w:t>
      </w:r>
      <w:r w:rsidR="003C01B8" w:rsidRPr="00E216D5">
        <w:rPr>
          <w:rFonts w:ascii="Arial" w:eastAsia="Calibri" w:hAnsi="Arial" w:cs="Arial"/>
          <w:kern w:val="0"/>
          <w14:ligatures w14:val="none"/>
        </w:rPr>
        <w:t>;</w:t>
      </w:r>
    </w:p>
    <w:p w14:paraId="0BFE65DA" w14:textId="4EE37BF4" w:rsidR="005D6418" w:rsidRPr="00E216D5" w:rsidRDefault="00760A8F" w:rsidP="00760A8F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E216D5">
        <w:rPr>
          <w:rFonts w:ascii="Arial" w:eastAsia="Calibri" w:hAnsi="Arial" w:cs="Arial"/>
          <w:kern w:val="0"/>
          <w14:ligatures w14:val="none"/>
        </w:rPr>
        <w:t xml:space="preserve">Discuss </w:t>
      </w:r>
      <w:r w:rsidR="00582105" w:rsidRPr="00E216D5">
        <w:rPr>
          <w:rFonts w:ascii="Arial" w:eastAsia="Calibri" w:hAnsi="Arial" w:cs="Arial"/>
          <w:kern w:val="0"/>
          <w14:ligatures w14:val="none"/>
        </w:rPr>
        <w:t xml:space="preserve">remedies </w:t>
      </w:r>
      <w:r w:rsidR="00851ED1" w:rsidRPr="00E216D5">
        <w:rPr>
          <w:rFonts w:ascii="Arial" w:eastAsia="Calibri" w:hAnsi="Arial" w:cs="Arial"/>
          <w:kern w:val="0"/>
          <w14:ligatures w14:val="none"/>
        </w:rPr>
        <w:t>available whether that be none legal or legal interventions.</w:t>
      </w:r>
      <w:r w:rsidR="005D6418" w:rsidRPr="00E216D5">
        <w:rPr>
          <w:rFonts w:ascii="Arial" w:eastAsia="Calibri" w:hAnsi="Arial" w:cs="Arial"/>
          <w:kern w:val="0"/>
          <w14:ligatures w14:val="none"/>
        </w:rPr>
        <w:tab/>
      </w:r>
    </w:p>
    <w:p w14:paraId="0570666D" w14:textId="1A76BD26" w:rsidR="004B0A5C" w:rsidRPr="00E216D5" w:rsidRDefault="004648F9" w:rsidP="00A77860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E216D5">
        <w:rPr>
          <w:rFonts w:ascii="Arial" w:eastAsia="Calibri" w:hAnsi="Arial" w:cs="Arial"/>
          <w:kern w:val="0"/>
          <w14:ligatures w14:val="none"/>
        </w:rPr>
        <w:t xml:space="preserve">Where appropriate, we will fully participate in a range of partnership and multi-agency </w:t>
      </w:r>
      <w:r w:rsidR="00DD0FC1" w:rsidRPr="00E216D5">
        <w:rPr>
          <w:rFonts w:ascii="Arial" w:eastAsia="Calibri" w:hAnsi="Arial" w:cs="Arial"/>
          <w:kern w:val="0"/>
          <w14:ligatures w14:val="none"/>
        </w:rPr>
        <w:t>meetings</w:t>
      </w:r>
      <w:r w:rsidRPr="00E216D5">
        <w:rPr>
          <w:rFonts w:ascii="Arial" w:eastAsia="Calibri" w:hAnsi="Arial" w:cs="Arial"/>
          <w:kern w:val="0"/>
          <w14:ligatures w14:val="none"/>
        </w:rPr>
        <w:t xml:space="preserve"> that exist, such as Police, Local Authorities, Social Care and Community Mental Health, this is not an exhaustive list</w:t>
      </w:r>
      <w:r w:rsidR="004B0A5C" w:rsidRPr="00E216D5">
        <w:rPr>
          <w:rFonts w:ascii="Arial" w:eastAsia="Calibri" w:hAnsi="Arial" w:cs="Arial"/>
          <w:kern w:val="0"/>
          <w14:ligatures w14:val="none"/>
        </w:rPr>
        <w:t>.</w:t>
      </w:r>
    </w:p>
    <w:p w14:paraId="7BA2F16B" w14:textId="43429B02" w:rsidR="00F50A4B" w:rsidRPr="00577CC0" w:rsidRDefault="001E36D5" w:rsidP="00F50A4B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E216D5">
        <w:rPr>
          <w:rFonts w:ascii="Arial" w:eastAsia="Calibri" w:hAnsi="Arial" w:cs="Arial"/>
          <w:kern w:val="0"/>
          <w14:ligatures w14:val="none"/>
        </w:rPr>
        <w:t xml:space="preserve">Where appropriate identify any risks or support needs </w:t>
      </w:r>
      <w:r w:rsidR="00416055" w:rsidRPr="00E216D5">
        <w:rPr>
          <w:rFonts w:ascii="Arial" w:eastAsia="Calibri" w:hAnsi="Arial" w:cs="Arial"/>
          <w:kern w:val="0"/>
          <w14:ligatures w14:val="none"/>
        </w:rPr>
        <w:t xml:space="preserve">that a customer/complainant/victim and/or perpetrator may have </w:t>
      </w:r>
      <w:r w:rsidRPr="00E216D5">
        <w:rPr>
          <w:rFonts w:ascii="Arial" w:eastAsia="Calibri" w:hAnsi="Arial" w:cs="Arial"/>
          <w:kern w:val="0"/>
          <w14:ligatures w14:val="none"/>
        </w:rPr>
        <w:t>which may result in us</w:t>
      </w:r>
      <w:r w:rsidR="0014521F" w:rsidRPr="00E216D5">
        <w:rPr>
          <w:rFonts w:ascii="Arial" w:eastAsia="Calibri" w:hAnsi="Arial" w:cs="Arial"/>
          <w:kern w:val="0"/>
          <w14:ligatures w14:val="none"/>
        </w:rPr>
        <w:t xml:space="preserve"> </w:t>
      </w:r>
      <w:r w:rsidR="00B229BE">
        <w:rPr>
          <w:rFonts w:ascii="Arial" w:eastAsia="Calibri" w:hAnsi="Arial" w:cs="Arial"/>
          <w:kern w:val="0"/>
          <w14:ligatures w14:val="none"/>
        </w:rPr>
        <w:t>making referrals</w:t>
      </w:r>
      <w:r w:rsidR="0014521F" w:rsidRPr="00E216D5">
        <w:rPr>
          <w:rFonts w:ascii="Arial" w:eastAsia="Calibri" w:hAnsi="Arial" w:cs="Arial"/>
          <w:kern w:val="0"/>
          <w14:ligatures w14:val="none"/>
        </w:rPr>
        <w:t xml:space="preserve"> to </w:t>
      </w:r>
      <w:r w:rsidR="00830417" w:rsidRPr="00E216D5">
        <w:rPr>
          <w:rFonts w:ascii="Arial" w:eastAsia="Calibri" w:hAnsi="Arial" w:cs="Arial"/>
          <w:kern w:val="0"/>
          <w14:ligatures w14:val="none"/>
        </w:rPr>
        <w:t xml:space="preserve">relevant </w:t>
      </w:r>
      <w:r w:rsidR="006655E3" w:rsidRPr="00E216D5">
        <w:rPr>
          <w:rFonts w:ascii="Arial" w:eastAsia="Calibri" w:hAnsi="Arial" w:cs="Arial"/>
          <w:kern w:val="0"/>
          <w14:ligatures w14:val="none"/>
        </w:rPr>
        <w:t xml:space="preserve">agencies that can provide </w:t>
      </w:r>
      <w:r w:rsidR="0014521F" w:rsidRPr="00E216D5">
        <w:rPr>
          <w:rFonts w:ascii="Arial" w:eastAsia="Calibri" w:hAnsi="Arial" w:cs="Arial"/>
          <w:kern w:val="0"/>
          <w14:ligatures w14:val="none"/>
        </w:rPr>
        <w:t>suitable support.</w:t>
      </w:r>
    </w:p>
    <w:p w14:paraId="05E7BDB0" w14:textId="22CAC462" w:rsidR="00577CC0" w:rsidRPr="00E216D5" w:rsidRDefault="00577CC0" w:rsidP="00577CC0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577CC0">
        <w:rPr>
          <w:rFonts w:ascii="Arial" w:eastAsia="Calibri" w:hAnsi="Arial" w:cs="Arial"/>
          <w:kern w:val="0"/>
          <w14:ligatures w14:val="none"/>
        </w:rPr>
        <w:t>Support you if you are required to give evidence or attend court;</w:t>
      </w:r>
    </w:p>
    <w:p w14:paraId="05271FBC" w14:textId="38235575" w:rsidR="00153F5E" w:rsidRPr="00E216D5" w:rsidRDefault="00F50A4B" w:rsidP="00153F5E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E216D5">
        <w:rPr>
          <w:rFonts w:ascii="Arial" w:eastAsia="Calibri" w:hAnsi="Arial" w:cs="Arial"/>
          <w:kern w:val="0"/>
          <w14:ligatures w14:val="none"/>
        </w:rPr>
        <w:t>Pro-actively close down cases, particularly where we have agreed there is no evidence to proceed, letting the customer/complainant/victim and/or perpetrator know why making it clear they can come back if further problems occur.</w:t>
      </w:r>
    </w:p>
    <w:p w14:paraId="1A4A4580" w14:textId="77777777" w:rsidR="00153F5E" w:rsidRPr="00E216D5" w:rsidRDefault="00153F5E" w:rsidP="00153F5E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0B40DCEF" w14:textId="77777777" w:rsidR="00763722" w:rsidRDefault="00763722" w:rsidP="004D4B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68074F"/>
          <w:sz w:val="36"/>
          <w:szCs w:val="36"/>
          <w:lang w:val="en-US"/>
        </w:rPr>
      </w:pPr>
    </w:p>
    <w:p w14:paraId="0BD149D6" w14:textId="77777777" w:rsidR="00763722" w:rsidRDefault="00763722" w:rsidP="004D4B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68074F"/>
          <w:sz w:val="36"/>
          <w:szCs w:val="36"/>
          <w:lang w:val="en-US"/>
        </w:rPr>
      </w:pPr>
    </w:p>
    <w:p w14:paraId="6396F7F1" w14:textId="77777777" w:rsidR="00763722" w:rsidRDefault="00763722" w:rsidP="004D4B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68074F"/>
          <w:sz w:val="36"/>
          <w:szCs w:val="36"/>
          <w:lang w:val="en-US"/>
        </w:rPr>
      </w:pPr>
    </w:p>
    <w:p w14:paraId="5E92C358" w14:textId="770A5CCC" w:rsidR="004D4B45" w:rsidRPr="00577CC0" w:rsidRDefault="004D4B45" w:rsidP="004D4B4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8074F"/>
          <w:sz w:val="36"/>
          <w:szCs w:val="36"/>
        </w:rPr>
      </w:pPr>
      <w:r w:rsidRPr="005D4553">
        <w:rPr>
          <w:rStyle w:val="normaltextrun"/>
          <w:rFonts w:ascii="Arial" w:hAnsi="Arial" w:cs="Arial"/>
          <w:b/>
          <w:bCs/>
          <w:color w:val="68074F"/>
          <w:sz w:val="36"/>
          <w:szCs w:val="36"/>
          <w:lang w:val="en-US"/>
        </w:rPr>
        <w:t>We ask you to</w:t>
      </w:r>
      <w:r w:rsidRPr="005D4553">
        <w:rPr>
          <w:rStyle w:val="eop"/>
          <w:rFonts w:ascii="Arial" w:hAnsi="Arial" w:cs="Arial"/>
          <w:b/>
          <w:bCs/>
          <w:color w:val="68074F"/>
          <w:sz w:val="36"/>
          <w:szCs w:val="36"/>
        </w:rPr>
        <w:t>:</w:t>
      </w:r>
    </w:p>
    <w:p w14:paraId="252375DB" w14:textId="77777777" w:rsidR="00153F5E" w:rsidRPr="00577CC0" w:rsidRDefault="00153F5E" w:rsidP="00153F5E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CEEB414" w14:textId="31271516" w:rsidR="003B0872" w:rsidRPr="00E216D5" w:rsidRDefault="003B0872" w:rsidP="003B087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E216D5">
        <w:rPr>
          <w:rFonts w:ascii="Arial" w:eastAsia="Calibri" w:hAnsi="Arial" w:cs="Arial"/>
          <w:kern w:val="0"/>
          <w14:ligatures w14:val="none"/>
        </w:rPr>
        <w:t>Be a considerate neighbour</w:t>
      </w:r>
    </w:p>
    <w:p w14:paraId="165CB999" w14:textId="6F8910FC" w:rsidR="00867A4C" w:rsidRPr="00E216D5" w:rsidRDefault="008B334F" w:rsidP="00C11B3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E216D5">
        <w:rPr>
          <w:rFonts w:ascii="Arial" w:eastAsia="Calibri" w:hAnsi="Arial" w:cs="Arial"/>
          <w:kern w:val="0"/>
          <w14:ligatures w14:val="none"/>
        </w:rPr>
        <w:t>Thi</w:t>
      </w:r>
      <w:r w:rsidR="009F7872" w:rsidRPr="00E216D5">
        <w:rPr>
          <w:rFonts w:ascii="Arial" w:eastAsia="Calibri" w:hAnsi="Arial" w:cs="Arial"/>
          <w:kern w:val="0"/>
          <w14:ligatures w14:val="none"/>
        </w:rPr>
        <w:t>nk</w:t>
      </w:r>
      <w:r w:rsidRPr="00E216D5">
        <w:rPr>
          <w:rFonts w:ascii="Arial" w:eastAsia="Calibri" w:hAnsi="Arial" w:cs="Arial"/>
          <w:kern w:val="0"/>
          <w14:ligatures w14:val="none"/>
        </w:rPr>
        <w:t xml:space="preserve"> about the issues are you experiencing before you contact us and ask yourself:</w:t>
      </w:r>
      <w:r w:rsidR="00C11B32" w:rsidRPr="00E216D5">
        <w:rPr>
          <w:rFonts w:ascii="Arial" w:eastAsia="Calibri" w:hAnsi="Arial" w:cs="Arial"/>
          <w:kern w:val="0"/>
          <w14:ligatures w14:val="none"/>
        </w:rPr>
        <w:t xml:space="preserve"> </w:t>
      </w:r>
      <w:r w:rsidRPr="00E216D5">
        <w:rPr>
          <w:rFonts w:ascii="Arial" w:eastAsia="Calibri" w:hAnsi="Arial" w:cs="Arial"/>
          <w:kern w:val="0"/>
          <w14:ligatures w14:val="none"/>
        </w:rPr>
        <w:t>Does the behaviour stop me from living in my home peacefully and is it causing me</w:t>
      </w:r>
      <w:r w:rsidR="00C11B32" w:rsidRPr="00E216D5">
        <w:rPr>
          <w:rFonts w:ascii="Arial" w:eastAsia="Calibri" w:hAnsi="Arial" w:cs="Arial"/>
          <w:kern w:val="0"/>
          <w14:ligatures w14:val="none"/>
        </w:rPr>
        <w:t xml:space="preserve"> </w:t>
      </w:r>
      <w:r w:rsidRPr="00E216D5">
        <w:rPr>
          <w:rFonts w:ascii="Arial" w:eastAsia="Calibri" w:hAnsi="Arial" w:cs="Arial"/>
          <w:kern w:val="0"/>
          <w14:ligatures w14:val="none"/>
        </w:rPr>
        <w:t>harm or having a negative impact on my wellbeing?</w:t>
      </w:r>
      <w:r w:rsidR="009F7872" w:rsidRPr="00E216D5">
        <w:rPr>
          <w:rFonts w:ascii="Arial" w:eastAsia="Calibri" w:hAnsi="Arial" w:cs="Arial"/>
          <w:kern w:val="0"/>
          <w14:ligatures w14:val="none"/>
        </w:rPr>
        <w:t xml:space="preserve"> </w:t>
      </w:r>
      <w:r w:rsidR="00867A4C" w:rsidRPr="00E216D5">
        <w:rPr>
          <w:rFonts w:ascii="Arial" w:eastAsia="Calibri" w:hAnsi="Arial" w:cs="Arial"/>
          <w:kern w:val="0"/>
          <w14:ligatures w14:val="none"/>
        </w:rPr>
        <w:t>If the answer is yes, then report the issue to us.</w:t>
      </w:r>
      <w:r w:rsidR="009F7872" w:rsidRPr="00E216D5">
        <w:rPr>
          <w:rFonts w:ascii="Arial" w:eastAsia="Calibri" w:hAnsi="Arial" w:cs="Arial"/>
          <w:kern w:val="0"/>
          <w14:ligatures w14:val="none"/>
        </w:rPr>
        <w:t xml:space="preserve">  </w:t>
      </w:r>
      <w:r w:rsidR="00867A4C" w:rsidRPr="00E216D5">
        <w:rPr>
          <w:rFonts w:ascii="Arial" w:eastAsia="Calibri" w:hAnsi="Arial" w:cs="Arial"/>
          <w:kern w:val="0"/>
          <w14:ligatures w14:val="none"/>
        </w:rPr>
        <w:t>If the answer is no</w:t>
      </w:r>
      <w:r w:rsidR="007B4668" w:rsidRPr="00E216D5">
        <w:rPr>
          <w:rFonts w:ascii="Arial" w:eastAsia="Calibri" w:hAnsi="Arial" w:cs="Arial"/>
          <w:kern w:val="0"/>
          <w14:ligatures w14:val="none"/>
        </w:rPr>
        <w:t>, not really, then you could try speaking to the people involved if you feel comfortable doing so.  People often respond better to a polite work from a neighbour rather than a letter or visit from an official.</w:t>
      </w:r>
    </w:p>
    <w:p w14:paraId="391978A8" w14:textId="7545D804" w:rsidR="00AF6FB1" w:rsidRPr="00E216D5" w:rsidRDefault="00C57FD7" w:rsidP="00C11B3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E216D5">
        <w:rPr>
          <w:rFonts w:ascii="Arial" w:eastAsia="Calibri" w:hAnsi="Arial" w:cs="Arial"/>
          <w:kern w:val="0"/>
          <w14:ligatures w14:val="none"/>
        </w:rPr>
        <w:t>Report</w:t>
      </w:r>
      <w:r w:rsidR="001F6FC5" w:rsidRPr="00E216D5">
        <w:rPr>
          <w:rFonts w:ascii="Arial" w:eastAsia="Calibri" w:hAnsi="Arial" w:cs="Arial"/>
          <w:kern w:val="0"/>
          <w14:ligatures w14:val="none"/>
        </w:rPr>
        <w:t xml:space="preserve"> any nuisance and anti-social behaviour </w:t>
      </w:r>
      <w:r w:rsidR="006D606B" w:rsidRPr="00E216D5">
        <w:rPr>
          <w:rFonts w:ascii="Arial" w:eastAsia="Calibri" w:hAnsi="Arial" w:cs="Arial"/>
          <w:kern w:val="0"/>
          <w14:ligatures w14:val="none"/>
        </w:rPr>
        <w:t>if you are not able to speak to the people involved;</w:t>
      </w:r>
    </w:p>
    <w:p w14:paraId="69FF8EFD" w14:textId="7C849EAA" w:rsidR="00FC74E3" w:rsidRPr="00E216D5" w:rsidRDefault="00FC74E3" w:rsidP="00C11B3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E216D5">
        <w:rPr>
          <w:rFonts w:ascii="Arial" w:eastAsia="Calibri" w:hAnsi="Arial" w:cs="Arial"/>
          <w:kern w:val="0"/>
          <w14:ligatures w14:val="none"/>
        </w:rPr>
        <w:t>Work with us to collect evidence;</w:t>
      </w:r>
    </w:p>
    <w:p w14:paraId="3C5238D7" w14:textId="46F3B4C9" w:rsidR="00FC74E3" w:rsidRPr="00E216D5" w:rsidRDefault="00FC74E3" w:rsidP="00C11B3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E216D5">
        <w:rPr>
          <w:rFonts w:ascii="Arial" w:eastAsia="Calibri" w:hAnsi="Arial" w:cs="Arial"/>
          <w:kern w:val="0"/>
          <w14:ligatures w14:val="none"/>
        </w:rPr>
        <w:t>Let us know if you need any additional help or support</w:t>
      </w:r>
      <w:r w:rsidR="005514A2" w:rsidRPr="00E216D5">
        <w:rPr>
          <w:rFonts w:ascii="Arial" w:eastAsia="Calibri" w:hAnsi="Arial" w:cs="Arial"/>
          <w:kern w:val="0"/>
          <w14:ligatures w14:val="none"/>
        </w:rPr>
        <w:t>;</w:t>
      </w:r>
    </w:p>
    <w:p w14:paraId="474C3BCD" w14:textId="038A7A1B" w:rsidR="005514A2" w:rsidRPr="00E216D5" w:rsidRDefault="005514A2" w:rsidP="00C11B3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E216D5">
        <w:rPr>
          <w:rFonts w:ascii="Arial" w:eastAsia="Calibri" w:hAnsi="Arial" w:cs="Arial"/>
          <w:kern w:val="0"/>
          <w14:ligatures w14:val="none"/>
        </w:rPr>
        <w:t>Be open to resolving neighbour disputes for example through mediation;</w:t>
      </w:r>
    </w:p>
    <w:p w14:paraId="1F04344E" w14:textId="1F01E36A" w:rsidR="00B37E6E" w:rsidRPr="00E216D5" w:rsidRDefault="00B37E6E" w:rsidP="00C11B3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E216D5">
        <w:rPr>
          <w:rFonts w:ascii="Arial" w:eastAsia="Calibri" w:hAnsi="Arial" w:cs="Arial"/>
          <w:kern w:val="0"/>
          <w14:ligatures w14:val="none"/>
        </w:rPr>
        <w:t>Provide feedback when the case has been closed.</w:t>
      </w:r>
    </w:p>
    <w:p w14:paraId="6E0BF9D0" w14:textId="77777777" w:rsidR="004D4B45" w:rsidRPr="005D4553" w:rsidRDefault="004D4B45" w:rsidP="00577CC0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CAB34C4" w14:textId="26B2FA9C" w:rsidR="00577CC0" w:rsidRPr="00577CC0" w:rsidRDefault="00252C60" w:rsidP="00CB642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8074F"/>
          <w:sz w:val="36"/>
          <w:szCs w:val="36"/>
        </w:rPr>
      </w:pPr>
      <w:r w:rsidRPr="005D4553">
        <w:rPr>
          <w:rStyle w:val="normaltextrun"/>
          <w:rFonts w:ascii="Arial" w:hAnsi="Arial" w:cs="Arial"/>
          <w:b/>
          <w:bCs/>
          <w:color w:val="68074F"/>
          <w:sz w:val="36"/>
          <w:szCs w:val="36"/>
          <w:lang w:val="en-US"/>
        </w:rPr>
        <w:t>How will we keep a check on our standards</w:t>
      </w:r>
      <w:r w:rsidRPr="005D4553">
        <w:rPr>
          <w:rStyle w:val="eop"/>
          <w:rFonts w:ascii="Arial" w:hAnsi="Arial" w:cs="Arial"/>
          <w:b/>
          <w:bCs/>
          <w:color w:val="68074F"/>
          <w:sz w:val="36"/>
          <w:szCs w:val="36"/>
        </w:rPr>
        <w:t>:</w:t>
      </w:r>
    </w:p>
    <w:p w14:paraId="1F13F26A" w14:textId="77777777" w:rsidR="00577CC0" w:rsidRPr="00577CC0" w:rsidRDefault="00577CC0" w:rsidP="00577CC0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4AABDAF0" w14:textId="19EB49AD" w:rsidR="00C53FBD" w:rsidRPr="00E216D5" w:rsidRDefault="00C53FBD" w:rsidP="00577CC0">
      <w:pPr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E216D5">
        <w:rPr>
          <w:rFonts w:ascii="Arial" w:eastAsia="Calibri" w:hAnsi="Arial" w:cs="Arial"/>
          <w:kern w:val="0"/>
          <w14:ligatures w14:val="none"/>
        </w:rPr>
        <w:t>N&amp;C colleagues to review open ASB cases with their leaders at their monthly 121s.</w:t>
      </w:r>
    </w:p>
    <w:p w14:paraId="4E17A8E4" w14:textId="0EDF8F1D" w:rsidR="00B02B73" w:rsidRPr="00E216D5" w:rsidRDefault="00CB642C" w:rsidP="00577CC0">
      <w:pPr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E216D5">
        <w:rPr>
          <w:rFonts w:ascii="Arial" w:eastAsia="Calibri" w:hAnsi="Arial" w:cs="Arial"/>
          <w:kern w:val="0"/>
          <w14:ligatures w14:val="none"/>
        </w:rPr>
        <w:t>Complete reviews on time</w:t>
      </w:r>
      <w:r w:rsidR="00600E38">
        <w:rPr>
          <w:rFonts w:ascii="Arial" w:eastAsia="Calibri" w:hAnsi="Arial" w:cs="Arial"/>
          <w:kern w:val="0"/>
          <w14:ligatures w14:val="none"/>
        </w:rPr>
        <w:t xml:space="preserve">.  Community Safety Team to </w:t>
      </w:r>
      <w:r w:rsidR="00B02B73" w:rsidRPr="00E216D5">
        <w:rPr>
          <w:rFonts w:ascii="Arial" w:eastAsia="Calibri" w:hAnsi="Arial" w:cs="Arial"/>
          <w:kern w:val="0"/>
          <w14:ligatures w14:val="none"/>
        </w:rPr>
        <w:t>provide monthly reports to leaders on performance</w:t>
      </w:r>
      <w:r w:rsidR="00422775" w:rsidRPr="00E216D5">
        <w:rPr>
          <w:rFonts w:ascii="Arial" w:eastAsia="Calibri" w:hAnsi="Arial" w:cs="Arial"/>
          <w:kern w:val="0"/>
          <w14:ligatures w14:val="none"/>
        </w:rPr>
        <w:t>;</w:t>
      </w:r>
    </w:p>
    <w:p w14:paraId="3A0EACA8" w14:textId="133C819E" w:rsidR="00422775" w:rsidRPr="00E216D5" w:rsidRDefault="00600E38" w:rsidP="00577CC0">
      <w:pPr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>
        <w:rPr>
          <w:rFonts w:ascii="Arial" w:eastAsia="Calibri" w:hAnsi="Arial" w:cs="Arial"/>
          <w:kern w:val="0"/>
          <w14:ligatures w14:val="none"/>
        </w:rPr>
        <w:t>Community Safety Team to c</w:t>
      </w:r>
      <w:r w:rsidR="00422775" w:rsidRPr="00E216D5">
        <w:rPr>
          <w:rFonts w:ascii="Arial" w:eastAsia="Calibri" w:hAnsi="Arial" w:cs="Arial"/>
          <w:kern w:val="0"/>
          <w14:ligatures w14:val="none"/>
        </w:rPr>
        <w:t xml:space="preserve">arry out quarterly internal </w:t>
      </w:r>
      <w:r w:rsidR="00C6665F" w:rsidRPr="00E216D5">
        <w:rPr>
          <w:rFonts w:ascii="Arial" w:eastAsia="Calibri" w:hAnsi="Arial" w:cs="Arial"/>
          <w:kern w:val="0"/>
          <w14:ligatures w14:val="none"/>
        </w:rPr>
        <w:t>audits</w:t>
      </w:r>
      <w:r w:rsidR="00422775" w:rsidRPr="00E216D5">
        <w:rPr>
          <w:rFonts w:ascii="Arial" w:eastAsia="Calibri" w:hAnsi="Arial" w:cs="Arial"/>
          <w:kern w:val="0"/>
          <w14:ligatures w14:val="none"/>
        </w:rPr>
        <w:t xml:space="preserve"> on 10% of open cases across our geography and report to leaders on performance;</w:t>
      </w:r>
    </w:p>
    <w:p w14:paraId="3B76DC52" w14:textId="086237B0" w:rsidR="00C53FBD" w:rsidRPr="00E216D5" w:rsidRDefault="004C443D" w:rsidP="00577CC0">
      <w:pPr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E216D5">
        <w:rPr>
          <w:rFonts w:ascii="Arial" w:eastAsia="Calibri" w:hAnsi="Arial" w:cs="Arial"/>
          <w:kern w:val="0"/>
          <w14:ligatures w14:val="none"/>
        </w:rPr>
        <w:t>Use feedback given following closed case customer advocacy call to improve ASB services.</w:t>
      </w:r>
    </w:p>
    <w:p w14:paraId="15A5B56B" w14:textId="1A56FD81" w:rsidR="002E2F77" w:rsidRPr="00913881" w:rsidRDefault="00510D15" w:rsidP="002E2F77">
      <w:pPr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E216D5">
        <w:rPr>
          <w:rFonts w:ascii="Arial" w:eastAsia="Calibri" w:hAnsi="Arial" w:cs="Arial"/>
          <w:kern w:val="0"/>
          <w14:ligatures w14:val="none"/>
        </w:rPr>
        <w:t>Tenant Satisfaction Measures</w:t>
      </w:r>
    </w:p>
    <w:p w14:paraId="6493F8CB" w14:textId="77777777" w:rsidR="004C443D" w:rsidRDefault="004C443D" w:rsidP="004C443D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BB4E570" w14:textId="7BFBBF4F" w:rsidR="00C9236E" w:rsidRDefault="00F551CE" w:rsidP="00C9236E">
      <w:pPr>
        <w:rPr>
          <w:rStyle w:val="normaltextrun"/>
          <w:rFonts w:ascii="Arial" w:hAnsi="Arial" w:cs="Arial"/>
          <w:b/>
          <w:bCs/>
          <w:color w:val="68074F"/>
          <w:sz w:val="36"/>
          <w:szCs w:val="36"/>
          <w:lang w:val="en-US"/>
        </w:rPr>
      </w:pPr>
      <w:r>
        <w:rPr>
          <w:rStyle w:val="normaltextrun"/>
          <w:rFonts w:ascii="Arial" w:hAnsi="Arial" w:cs="Arial"/>
          <w:b/>
          <w:bCs/>
          <w:color w:val="68074F"/>
          <w:sz w:val="36"/>
          <w:szCs w:val="36"/>
          <w:lang w:val="en-US"/>
        </w:rPr>
        <w:t>We will review our Service Standards:</w:t>
      </w:r>
    </w:p>
    <w:p w14:paraId="5036C3B0" w14:textId="332E3780" w:rsidR="00D420D9" w:rsidRDefault="00D420D9" w:rsidP="00D420D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When feedback is telling us we need to look at things again;</w:t>
      </w:r>
    </w:p>
    <w:p w14:paraId="0B5B6E9A" w14:textId="473774EC" w:rsidR="00D420D9" w:rsidRPr="00D420D9" w:rsidRDefault="00D420D9" w:rsidP="00D420D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Align rev</w:t>
      </w:r>
      <w:r w:rsidR="00C03FB7">
        <w:rPr>
          <w:rFonts w:ascii="Arial" w:hAnsi="Arial" w:cs="Arial"/>
        </w:rPr>
        <w:t>iew with that of Policy and Procedure.</w:t>
      </w:r>
    </w:p>
    <w:p w14:paraId="6FDCBD0C" w14:textId="77777777" w:rsidR="00BD0449" w:rsidRDefault="00BD0449"/>
    <w:p w14:paraId="1DD3A5E7" w14:textId="01AF0918" w:rsidR="00BD0449" w:rsidRDefault="00BD0449"/>
    <w:sectPr w:rsidR="00BD0449"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91802" w14:textId="77777777" w:rsidR="00A962B8" w:rsidRDefault="00A962B8" w:rsidP="0014521F">
      <w:pPr>
        <w:spacing w:after="0" w:line="240" w:lineRule="auto"/>
      </w:pPr>
      <w:r>
        <w:separator/>
      </w:r>
    </w:p>
  </w:endnote>
  <w:endnote w:type="continuationSeparator" w:id="0">
    <w:p w14:paraId="29511B6B" w14:textId="77777777" w:rsidR="00A962B8" w:rsidRDefault="00A962B8" w:rsidP="0014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B4062" w14:textId="6112D52F" w:rsidR="0014521F" w:rsidRDefault="0014521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A89568D" wp14:editId="372B60F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255" b="0"/>
              <wp:wrapNone/>
              <wp:docPr id="2078542534" name="Text Box 2" descr="       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85F642" w14:textId="77452C99" w:rsidR="0014521F" w:rsidRPr="0014521F" w:rsidRDefault="0014521F" w:rsidP="0014521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4521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       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8956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        Intern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5D85F642" w14:textId="77452C99" w:rsidR="0014521F" w:rsidRPr="0014521F" w:rsidRDefault="0014521F" w:rsidP="0014521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4521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       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F38D9" w14:textId="02152DE4" w:rsidR="0014521F" w:rsidRDefault="0014521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18E4612" wp14:editId="14BAFDF5">
              <wp:simplePos x="914400" y="100711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255" b="0"/>
              <wp:wrapNone/>
              <wp:docPr id="388690102" name="Text Box 3" descr="       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9F36E5" w14:textId="4E09D2B2" w:rsidR="0014521F" w:rsidRPr="0014521F" w:rsidRDefault="0014521F" w:rsidP="0014521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4521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       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8E46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        Intern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439F36E5" w14:textId="4E09D2B2" w:rsidR="0014521F" w:rsidRPr="0014521F" w:rsidRDefault="0014521F" w:rsidP="0014521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4521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       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255D" w14:textId="2F5A27FF" w:rsidR="0014521F" w:rsidRDefault="0014521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0BD1F27" wp14:editId="66BA547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255" b="0"/>
              <wp:wrapNone/>
              <wp:docPr id="1987250258" name="Text Box 1" descr="       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364855" w14:textId="6081F1D1" w:rsidR="0014521F" w:rsidRPr="0014521F" w:rsidRDefault="0014521F" w:rsidP="0014521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4521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       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BD1F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        Intern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7F364855" w14:textId="6081F1D1" w:rsidR="0014521F" w:rsidRPr="0014521F" w:rsidRDefault="0014521F" w:rsidP="0014521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4521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       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910DC" w14:textId="77777777" w:rsidR="00A962B8" w:rsidRDefault="00A962B8" w:rsidP="0014521F">
      <w:pPr>
        <w:spacing w:after="0" w:line="240" w:lineRule="auto"/>
      </w:pPr>
      <w:r>
        <w:separator/>
      </w:r>
    </w:p>
  </w:footnote>
  <w:footnote w:type="continuationSeparator" w:id="0">
    <w:p w14:paraId="265C8BB5" w14:textId="77777777" w:rsidR="00A962B8" w:rsidRDefault="00A962B8" w:rsidP="00145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684"/>
    <w:multiLevelType w:val="hybridMultilevel"/>
    <w:tmpl w:val="39246AD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8E95036"/>
    <w:multiLevelType w:val="hybridMultilevel"/>
    <w:tmpl w:val="7406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76E5F"/>
    <w:multiLevelType w:val="multilevel"/>
    <w:tmpl w:val="F742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FD56AE"/>
    <w:multiLevelType w:val="hybridMultilevel"/>
    <w:tmpl w:val="4C20E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921A5"/>
    <w:multiLevelType w:val="multilevel"/>
    <w:tmpl w:val="B9C675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8E1210D"/>
    <w:multiLevelType w:val="multilevel"/>
    <w:tmpl w:val="346C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3D6A3E"/>
    <w:multiLevelType w:val="hybridMultilevel"/>
    <w:tmpl w:val="467C9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E1BDB"/>
    <w:multiLevelType w:val="multilevel"/>
    <w:tmpl w:val="88D25C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8CE1B82"/>
    <w:multiLevelType w:val="hybridMultilevel"/>
    <w:tmpl w:val="10028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E0083"/>
    <w:multiLevelType w:val="hybridMultilevel"/>
    <w:tmpl w:val="C12E7DC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67545219"/>
    <w:multiLevelType w:val="hybridMultilevel"/>
    <w:tmpl w:val="8452B4D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6E8651B2"/>
    <w:multiLevelType w:val="hybridMultilevel"/>
    <w:tmpl w:val="B5FE6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B4A27"/>
    <w:multiLevelType w:val="hybridMultilevel"/>
    <w:tmpl w:val="0DA60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85E27"/>
    <w:multiLevelType w:val="multilevel"/>
    <w:tmpl w:val="8568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3AC5313"/>
    <w:multiLevelType w:val="hybridMultilevel"/>
    <w:tmpl w:val="7682BB1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2D0C62"/>
    <w:multiLevelType w:val="hybridMultilevel"/>
    <w:tmpl w:val="55F61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52E6E"/>
    <w:multiLevelType w:val="multilevel"/>
    <w:tmpl w:val="F142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221E14"/>
    <w:multiLevelType w:val="hybridMultilevel"/>
    <w:tmpl w:val="3110B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563253">
    <w:abstractNumId w:val="5"/>
  </w:num>
  <w:num w:numId="2" w16cid:durableId="712929554">
    <w:abstractNumId w:val="4"/>
  </w:num>
  <w:num w:numId="3" w16cid:durableId="413823390">
    <w:abstractNumId w:val="2"/>
  </w:num>
  <w:num w:numId="4" w16cid:durableId="1727215627">
    <w:abstractNumId w:val="13"/>
  </w:num>
  <w:num w:numId="5" w16cid:durableId="2118521032">
    <w:abstractNumId w:val="7"/>
  </w:num>
  <w:num w:numId="6" w16cid:durableId="1658344619">
    <w:abstractNumId w:val="16"/>
  </w:num>
  <w:num w:numId="7" w16cid:durableId="1432319540">
    <w:abstractNumId w:val="17"/>
  </w:num>
  <w:num w:numId="8" w16cid:durableId="1676761759">
    <w:abstractNumId w:val="0"/>
  </w:num>
  <w:num w:numId="9" w16cid:durableId="1142382264">
    <w:abstractNumId w:val="9"/>
  </w:num>
  <w:num w:numId="10" w16cid:durableId="435371911">
    <w:abstractNumId w:val="3"/>
  </w:num>
  <w:num w:numId="11" w16cid:durableId="1423987046">
    <w:abstractNumId w:val="14"/>
  </w:num>
  <w:num w:numId="12" w16cid:durableId="2006084621">
    <w:abstractNumId w:val="10"/>
  </w:num>
  <w:num w:numId="13" w16cid:durableId="743263483">
    <w:abstractNumId w:val="12"/>
  </w:num>
  <w:num w:numId="14" w16cid:durableId="892692161">
    <w:abstractNumId w:val="8"/>
  </w:num>
  <w:num w:numId="15" w16cid:durableId="910121783">
    <w:abstractNumId w:val="1"/>
  </w:num>
  <w:num w:numId="16" w16cid:durableId="1272130819">
    <w:abstractNumId w:val="15"/>
  </w:num>
  <w:num w:numId="17" w16cid:durableId="801071315">
    <w:abstractNumId w:val="6"/>
  </w:num>
  <w:num w:numId="18" w16cid:durableId="1901499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51"/>
    <w:rsid w:val="00031E9F"/>
    <w:rsid w:val="0004243E"/>
    <w:rsid w:val="00056001"/>
    <w:rsid w:val="00061BC7"/>
    <w:rsid w:val="000847B6"/>
    <w:rsid w:val="0014521F"/>
    <w:rsid w:val="00153F5E"/>
    <w:rsid w:val="00167326"/>
    <w:rsid w:val="001A36B7"/>
    <w:rsid w:val="001D1D25"/>
    <w:rsid w:val="001E36D5"/>
    <w:rsid w:val="001F6FC5"/>
    <w:rsid w:val="00210313"/>
    <w:rsid w:val="00252C60"/>
    <w:rsid w:val="00255395"/>
    <w:rsid w:val="002627D9"/>
    <w:rsid w:val="002839F8"/>
    <w:rsid w:val="002B4670"/>
    <w:rsid w:val="002C0678"/>
    <w:rsid w:val="002C0ADD"/>
    <w:rsid w:val="002D0693"/>
    <w:rsid w:val="002E2F77"/>
    <w:rsid w:val="003A7297"/>
    <w:rsid w:val="003B0872"/>
    <w:rsid w:val="003C01B8"/>
    <w:rsid w:val="003D5974"/>
    <w:rsid w:val="00412E5A"/>
    <w:rsid w:val="00416055"/>
    <w:rsid w:val="00422775"/>
    <w:rsid w:val="00423C6B"/>
    <w:rsid w:val="00424439"/>
    <w:rsid w:val="004648F9"/>
    <w:rsid w:val="00482088"/>
    <w:rsid w:val="004B0A5C"/>
    <w:rsid w:val="004C443D"/>
    <w:rsid w:val="004D4B45"/>
    <w:rsid w:val="00510D15"/>
    <w:rsid w:val="005514A2"/>
    <w:rsid w:val="0056146C"/>
    <w:rsid w:val="00563CCC"/>
    <w:rsid w:val="00577CC0"/>
    <w:rsid w:val="00582105"/>
    <w:rsid w:val="005C24B9"/>
    <w:rsid w:val="005D4553"/>
    <w:rsid w:val="005D6418"/>
    <w:rsid w:val="00600E38"/>
    <w:rsid w:val="006021A2"/>
    <w:rsid w:val="00617A25"/>
    <w:rsid w:val="006346E5"/>
    <w:rsid w:val="006420F0"/>
    <w:rsid w:val="00657A25"/>
    <w:rsid w:val="006655E3"/>
    <w:rsid w:val="006D606B"/>
    <w:rsid w:val="00760A8F"/>
    <w:rsid w:val="00763722"/>
    <w:rsid w:val="0076675A"/>
    <w:rsid w:val="007B4668"/>
    <w:rsid w:val="007C2B23"/>
    <w:rsid w:val="007D1F62"/>
    <w:rsid w:val="007E696C"/>
    <w:rsid w:val="00801DC7"/>
    <w:rsid w:val="00830417"/>
    <w:rsid w:val="00851ED1"/>
    <w:rsid w:val="00866B89"/>
    <w:rsid w:val="00867A4C"/>
    <w:rsid w:val="008B334F"/>
    <w:rsid w:val="008E3C13"/>
    <w:rsid w:val="008E4C8F"/>
    <w:rsid w:val="00913881"/>
    <w:rsid w:val="009B0964"/>
    <w:rsid w:val="009B5C3A"/>
    <w:rsid w:val="009F7872"/>
    <w:rsid w:val="00A37C2E"/>
    <w:rsid w:val="00A77860"/>
    <w:rsid w:val="00A962B8"/>
    <w:rsid w:val="00AB22F0"/>
    <w:rsid w:val="00AF6FB1"/>
    <w:rsid w:val="00B02B73"/>
    <w:rsid w:val="00B229BE"/>
    <w:rsid w:val="00B310FA"/>
    <w:rsid w:val="00B37E6E"/>
    <w:rsid w:val="00B878D5"/>
    <w:rsid w:val="00BB3784"/>
    <w:rsid w:val="00BD0449"/>
    <w:rsid w:val="00C03FB7"/>
    <w:rsid w:val="00C07AF7"/>
    <w:rsid w:val="00C11B32"/>
    <w:rsid w:val="00C2305F"/>
    <w:rsid w:val="00C41D72"/>
    <w:rsid w:val="00C53FBD"/>
    <w:rsid w:val="00C57FD7"/>
    <w:rsid w:val="00C6665F"/>
    <w:rsid w:val="00C76C8F"/>
    <w:rsid w:val="00C9236E"/>
    <w:rsid w:val="00CA2CE7"/>
    <w:rsid w:val="00CB642C"/>
    <w:rsid w:val="00CC2D23"/>
    <w:rsid w:val="00CC7EE6"/>
    <w:rsid w:val="00CF1159"/>
    <w:rsid w:val="00CF577E"/>
    <w:rsid w:val="00D05A3C"/>
    <w:rsid w:val="00D31B51"/>
    <w:rsid w:val="00D420D9"/>
    <w:rsid w:val="00D635DE"/>
    <w:rsid w:val="00D751D1"/>
    <w:rsid w:val="00DD0FC1"/>
    <w:rsid w:val="00E216D5"/>
    <w:rsid w:val="00E42072"/>
    <w:rsid w:val="00E52778"/>
    <w:rsid w:val="00E56961"/>
    <w:rsid w:val="00EA76D8"/>
    <w:rsid w:val="00EC48F1"/>
    <w:rsid w:val="00F148D1"/>
    <w:rsid w:val="00F16A25"/>
    <w:rsid w:val="00F50A4B"/>
    <w:rsid w:val="00F551CE"/>
    <w:rsid w:val="00FC74E3"/>
    <w:rsid w:val="00FD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72498"/>
  <w15:chartTrackingRefBased/>
  <w15:docId w15:val="{12C6E5A4-BBF0-4D36-9EBD-65E2BFC9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D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BD0449"/>
  </w:style>
  <w:style w:type="character" w:customStyle="1" w:styleId="eop">
    <w:name w:val="eop"/>
    <w:basedOn w:val="DefaultParagraphFont"/>
    <w:rsid w:val="00BD0449"/>
  </w:style>
  <w:style w:type="character" w:customStyle="1" w:styleId="breakobjecttext">
    <w:name w:val="breakobjecttext"/>
    <w:basedOn w:val="DefaultParagraphFont"/>
    <w:rsid w:val="00BD0449"/>
  </w:style>
  <w:style w:type="character" w:customStyle="1" w:styleId="tabchar">
    <w:name w:val="tabchar"/>
    <w:basedOn w:val="DefaultParagraphFont"/>
    <w:rsid w:val="00BD0449"/>
  </w:style>
  <w:style w:type="paragraph" w:styleId="NormalWeb">
    <w:name w:val="Normal (Web)"/>
    <w:basedOn w:val="Normal"/>
    <w:uiPriority w:val="99"/>
    <w:semiHidden/>
    <w:unhideWhenUsed/>
    <w:rsid w:val="00464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4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21F"/>
  </w:style>
  <w:style w:type="paragraph" w:styleId="ListParagraph">
    <w:name w:val="List Paragraph"/>
    <w:basedOn w:val="Normal"/>
    <w:uiPriority w:val="34"/>
    <w:qFormat/>
    <w:rsid w:val="008B3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Scott</dc:creator>
  <cp:keywords/>
  <dc:description/>
  <cp:lastModifiedBy>Jasmine Dudgon</cp:lastModifiedBy>
  <cp:revision>2</cp:revision>
  <dcterms:created xsi:type="dcterms:W3CDTF">2024-04-26T14:15:00Z</dcterms:created>
  <dcterms:modified xsi:type="dcterms:W3CDTF">2024-04-26T14:15:00Z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76730852,7be40ac6,172af0b6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        Internal</vt:lpwstr>
  </property>
  <property fmtid="{D5CDD505-2E9C-101B-9397-08002B2CF9AE}" pid="5" name="MSIP_Label_66071a7c-75cf-425a-8429-39b6c8c276fe_Enabled">
    <vt:lpwstr>true</vt:lpwstr>
  </property>
  <property fmtid="{D5CDD505-2E9C-101B-9397-08002B2CF9AE}" pid="6" name="MSIP_Label_66071a7c-75cf-425a-8429-39b6c8c276fe_SetDate">
    <vt:lpwstr>2024-02-05T11:13:16Z</vt:lpwstr>
  </property>
  <property fmtid="{D5CDD505-2E9C-101B-9397-08002B2CF9AE}" pid="7" name="MSIP_Label_66071a7c-75cf-425a-8429-39b6c8c276fe_Method">
    <vt:lpwstr>Standard</vt:lpwstr>
  </property>
  <property fmtid="{D5CDD505-2E9C-101B-9397-08002B2CF9AE}" pid="8" name="MSIP_Label_66071a7c-75cf-425a-8429-39b6c8c276fe_Name">
    <vt:lpwstr>Internal</vt:lpwstr>
  </property>
  <property fmtid="{D5CDD505-2E9C-101B-9397-08002B2CF9AE}" pid="9" name="MSIP_Label_66071a7c-75cf-425a-8429-39b6c8c276fe_SiteId">
    <vt:lpwstr>74ec6623-491a-4f44-9874-69ffcc3bb299</vt:lpwstr>
  </property>
  <property fmtid="{D5CDD505-2E9C-101B-9397-08002B2CF9AE}" pid="10" name="MSIP_Label_66071a7c-75cf-425a-8429-39b6c8c276fe_ActionId">
    <vt:lpwstr>c9d96b7e-54a8-4139-9d85-eb406b0d7e08</vt:lpwstr>
  </property>
  <property fmtid="{D5CDD505-2E9C-101B-9397-08002B2CF9AE}" pid="11" name="MSIP_Label_66071a7c-75cf-425a-8429-39b6c8c276fe_ContentBits">
    <vt:lpwstr>2</vt:lpwstr>
  </property>
</Properties>
</file>